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8261D" w:rsidRPr="006F77F4" w:rsidRDefault="0008261D" w:rsidP="007768E9">
      <w:pPr>
        <w:adjustRightInd w:val="0"/>
        <w:snapToGrid w:val="0"/>
        <w:ind w:firstLine="720"/>
        <w:rPr>
          <w:rFonts w:cs="Arial"/>
          <w:b/>
          <w:color w:val="000000" w:themeColor="text1"/>
          <w:szCs w:val="20"/>
          <w:lang w:val="en-US"/>
        </w:rPr>
      </w:pPr>
      <w:r w:rsidRPr="006F77F4">
        <w:rPr>
          <w:rFonts w:cs="Arial"/>
          <w:b/>
          <w:color w:val="000000" w:themeColor="text1"/>
          <w:szCs w:val="20"/>
        </w:rPr>
        <w:t>Mẫu số 01. Báo cáo đánh giá an toàn (Sử dụng nguồn phóng xạ (trừ nguồn phóng xạ gắn trong thiết bị chiếu xạ))</w:t>
      </w:r>
    </w:p>
    <w:p w:rsidR="0008261D" w:rsidRPr="006F77F4" w:rsidRDefault="0008261D" w:rsidP="006F77F4">
      <w:pPr>
        <w:rPr>
          <w:rFonts w:cs="Arial"/>
          <w:color w:val="000000" w:themeColor="text1"/>
          <w:szCs w:val="20"/>
          <w:lang w:val="en-US"/>
        </w:rPr>
      </w:pPr>
    </w:p>
    <w:p w:rsidR="0008261D" w:rsidRPr="006F77F4" w:rsidRDefault="0008261D" w:rsidP="006F77F4">
      <w:pPr>
        <w:jc w:val="center"/>
        <w:rPr>
          <w:rFonts w:cs="Arial"/>
          <w:color w:val="000000" w:themeColor="text1"/>
          <w:szCs w:val="20"/>
        </w:rPr>
      </w:pPr>
      <w:r w:rsidRPr="006F77F4">
        <w:rPr>
          <w:rFonts w:cs="Arial"/>
          <w:b/>
          <w:color w:val="000000" w:themeColor="text1"/>
          <w:szCs w:val="20"/>
        </w:rPr>
        <w:t>BÁO CÁO ĐÁNH GIÁ AN TOÀN</w:t>
      </w:r>
    </w:p>
    <w:p w:rsidR="0008261D" w:rsidRPr="006F77F4" w:rsidRDefault="0008261D" w:rsidP="006F77F4">
      <w:pPr>
        <w:jc w:val="center"/>
        <w:rPr>
          <w:rFonts w:cs="Arial"/>
          <w:b/>
          <w:color w:val="000000" w:themeColor="text1"/>
          <w:szCs w:val="20"/>
          <w:lang w:val="en-US"/>
        </w:rPr>
      </w:pPr>
      <w:r w:rsidRPr="006F77F4">
        <w:rPr>
          <w:rFonts w:cs="Arial"/>
          <w:b/>
          <w:color w:val="000000" w:themeColor="text1"/>
          <w:szCs w:val="20"/>
        </w:rPr>
        <w:t>(Sử dụng nguồn phóng xạ (trừ nguồn phóng xạ gắn trong thiết bị chiếu xạ))</w:t>
      </w:r>
    </w:p>
    <w:p w:rsidR="0008261D" w:rsidRPr="006F77F4" w:rsidRDefault="0008261D" w:rsidP="006F77F4">
      <w:pPr>
        <w:rPr>
          <w:rFonts w:cs="Arial"/>
          <w:color w:val="000000" w:themeColor="text1"/>
          <w:szCs w:val="20"/>
          <w:lang w:val="en-US"/>
        </w:rPr>
      </w:pP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 Tổ chức, cá nhân đề nghị cấp giấy phép</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1.</w:t>
      </w:r>
      <w:r w:rsidRPr="006F77F4">
        <w:rPr>
          <w:rFonts w:cs="Arial"/>
          <w:color w:val="000000" w:themeColor="text1"/>
          <w:szCs w:val="20"/>
        </w:rPr>
        <w:t xml:space="preserve"> </w:t>
      </w:r>
      <w:r w:rsidRPr="006F77F4">
        <w:rPr>
          <w:rFonts w:cs="Arial"/>
          <w:b/>
          <w:color w:val="000000" w:themeColor="text1"/>
          <w:szCs w:val="20"/>
        </w:rPr>
        <w:t>Thông tin về tổ chức, cá nhân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Tên tổ chức, cá nhân đề nghị cấp giấy phép:</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trụ sở chính; địa chỉ liên lạc (nếu khác địa chỉ trụ sở chính):</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điện thoại; </w:t>
      </w:r>
      <w:r>
        <w:rPr>
          <w:rFonts w:cs="Arial"/>
          <w:color w:val="000000" w:themeColor="text1"/>
          <w:szCs w:val="20"/>
          <w:lang w:val="en-US"/>
        </w:rPr>
        <w:t>S</w:t>
      </w:r>
      <w:r w:rsidRPr="006F77F4">
        <w:rPr>
          <w:rFonts w:cs="Arial"/>
          <w:color w:val="000000" w:themeColor="text1"/>
          <w:szCs w:val="20"/>
        </w:rPr>
        <w:t>ố fax; E-mail:</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nơi tiến hành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2.</w:t>
      </w:r>
      <w:r w:rsidRPr="006F77F4">
        <w:rPr>
          <w:rFonts w:cs="Arial"/>
          <w:color w:val="000000" w:themeColor="text1"/>
          <w:szCs w:val="20"/>
        </w:rPr>
        <w:t xml:space="preserve"> </w:t>
      </w:r>
      <w:r w:rsidRPr="006F77F4">
        <w:rPr>
          <w:rFonts w:cs="Arial"/>
          <w:b/>
          <w:color w:val="000000" w:themeColor="text1"/>
          <w:szCs w:val="20"/>
        </w:rPr>
        <w:t>Thông tin về người đứng đầu</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Họ tên: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số điện thoại; Số fax; E-mail:</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3.</w:t>
      </w:r>
      <w:r w:rsidRPr="006F77F4">
        <w:rPr>
          <w:rFonts w:cs="Arial"/>
          <w:color w:val="000000" w:themeColor="text1"/>
          <w:szCs w:val="20"/>
        </w:rPr>
        <w:t xml:space="preserve"> </w:t>
      </w:r>
      <w:r w:rsidRPr="006F77F4">
        <w:rPr>
          <w:rFonts w:cs="Arial"/>
          <w:b/>
          <w:color w:val="000000" w:themeColor="text1"/>
          <w:szCs w:val="20"/>
        </w:rPr>
        <w:t>Thông tin về người phụ trách an toàn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Họ tên: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số điện thoại; E-mail:</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Trình độ chuyên môn: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Chứng nhận đào tạo an toàn bức xạ (số giấy chứng nhận đào tạo an toàn bức xạ, nơi cấp và ngày cấp giấy chứng nhận):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Chứng chỉ nhân viên bức xạ (số chứng chỉ, nơi cấp, ngày cấp):</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II. Tổ chức quản lý</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1. Sơ đồ tổ chức và vị trí các phòng ban, đơn vị của cơ sở trực tiếp tiến hành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2. Liệt kê các văn bản pháp luật liên quan được áp dụng làm căn cứ, bao gồm:</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Luật Năng lượng nguyên tử;</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3. Danh mục hồ sơ cần lưu giữ; biện pháp và phân công trách nhiệm lập, quản lý, lưu giữ và cập nhật hồ sơ liên quan.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III. Các biện pháp bảo đảm an toàn bức xạ, an ninh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1.</w:t>
      </w:r>
      <w:r w:rsidRPr="006F77F4">
        <w:rPr>
          <w:rFonts w:cs="Arial"/>
          <w:color w:val="000000" w:themeColor="text1"/>
          <w:szCs w:val="20"/>
        </w:rPr>
        <w:t xml:space="preserve"> </w:t>
      </w:r>
      <w:r w:rsidRPr="006F77F4">
        <w:rPr>
          <w:rFonts w:cs="Arial"/>
          <w:b/>
          <w:color w:val="000000" w:themeColor="text1"/>
          <w:szCs w:val="20"/>
        </w:rPr>
        <w:t>Mô tả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Mô tả mục đích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Sơ đồ mặt bằng khu vực tiến hành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Đối với việc sử dụng nguồn phóng xạ thuộc mức an ninh A, B: Sơ đồ khu vực kiểm soát an ninh bao gồm sơ đồ thiết kế các thiết bị bảo đảm an ninh nguồn phóng xạ theo quy định tại Phụ lục V của Nghị định này.</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2.</w:t>
      </w:r>
      <w:r w:rsidRPr="006F77F4">
        <w:rPr>
          <w:rFonts w:cs="Arial"/>
          <w:color w:val="000000" w:themeColor="text1"/>
          <w:szCs w:val="20"/>
        </w:rPr>
        <w:t xml:space="preserve"> </w:t>
      </w:r>
      <w:r w:rsidRPr="006F77F4">
        <w:rPr>
          <w:rFonts w:cs="Arial"/>
          <w:b/>
          <w:color w:val="000000" w:themeColor="text1"/>
          <w:szCs w:val="20"/>
        </w:rPr>
        <w:t>Mô tả các biện pháp bảo vệ chống chiếu ngoài</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Cách thức thiết lập khu vực kiểm soát, khu vực giám sát và biện pháp kiểm soát người ra vào các khu vực này (kiểm soát hành chính, sử dụng các rào chắn, biển cảnh báo, tín hiệu cảnh báo);</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Thuyết minh các biện pháp che chắn bức xạ tại nơi sử dụng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Thiết bị đo suất liều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Nêu các trang thiết bị bảo hộ cá nhân và các dụng cụ để thao tác với nguồn phóng xạ (kẹp gắp nguồn, bình đựng nguồn...);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Trường hợp sử dụng nguồn phóng xạ hở trong y học hạt nhân: Biện pháp bảo vệ chống chiếu ngoài tại phòng bảo quản và làm việc với thuốc phóng xạ (phân liều), phòng cho người bệnh uống hoặc tiêm thuốc phóng xạ, phòng vệ sinh riêng cho người bệnh đã dùng thuốc phóng xạ, phòng đặt thiết bị xạ hình, phòng lưu người bệnh, khu vực tắm, rửa của nhân viên sau khi làm việc tiếp xúc với thuốc phóng xạ, nơi lưu giữ chất thải phóng xạ; biện pháp chống chiếu xạ chéo giữa các bệnh nhân;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Quy định về việc ghi nhật ký tiến hành công việc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3.</w:t>
      </w:r>
      <w:r w:rsidRPr="006F77F4">
        <w:rPr>
          <w:rFonts w:cs="Arial"/>
          <w:color w:val="000000" w:themeColor="text1"/>
          <w:szCs w:val="20"/>
        </w:rPr>
        <w:t xml:space="preserve"> </w:t>
      </w:r>
      <w:r w:rsidRPr="006F77F4">
        <w:rPr>
          <w:rFonts w:cs="Arial"/>
          <w:b/>
          <w:color w:val="000000" w:themeColor="text1"/>
          <w:szCs w:val="20"/>
        </w:rPr>
        <w:t>Mô tả biện pháp bảo vệ chống chiếu trong</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Hệ thống chống nhiễm bẩn phóng xạ không khí;</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Việc sử dụng vật liệu dễ tẩy xạ cho tường, sàn nhà và các bề mặt có thể bị nhiễm bẩn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Thiết bị đo nhiễm bẩn phóng xạ bề mặt (nêu rõ số lượng thiết bị, tên thiết bị, quy định về kiểm định, hiệu chuẩn thiết bị kèm theo bản sao chứng chỉ hiệu chuẩn thiết bị);</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Việc trang bị quần áo bảo hộ, găng tay, giày hoặc bao chân, mũ trùm đầu, khẩu trang cho nhân viên làm công việc bức xạ có khả năng gây nhiễm bẩn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Trang thiết bị an toàn để thao tác với nguồn phóng xạ hở;</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Nơi tẩy xạ cho nhân viên (đối với khu vực kiểm soát có khả năng gây nhiễm bẩn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Chương trình bảo đảm chất lượng trong chẩn đoán và điều trị (đối với sử dụng nguồn phóng xạ trong y tế) bao gồm các nội dung: xác định mục tiêu của chương trình phù hợp với quy mô và phạm vi hoạt động của cơ sở; thực hiện kiểm tra chất lượng, bảo trì, hiệu chuẩn, kiểm định định kỳ đối với thiết bị bức xạ và thiết bị ghi đo bức xạ; thiết lập và duy trì việc kiểm soát chất lượng; tổ chức đào tạo, đánh giá năng lực nhân viên; quản lý hồ sơ và thực hiện cải tiến quy trình (nếu có) trên cơ sở kết quả đánh giá nội bộ và bên ngoài;</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Trường hợp cơ sở y học hạt nhân sử dụng I-131 để chẩn đoán, điều trị bệnh: Hệ thống tủ hút để phân liều, pha chế I-131; phòng vệ sinh riêng cho người bệnh đã dùng I-131; phòng lưu người bệnh đã điều trị bệnh cường giáp hoặc ung thư tuyến giáp.</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4.</w:t>
      </w:r>
      <w:r w:rsidRPr="006F77F4">
        <w:rPr>
          <w:rFonts w:cs="Arial"/>
          <w:color w:val="000000" w:themeColor="text1"/>
          <w:szCs w:val="20"/>
        </w:rPr>
        <w:t xml:space="preserve"> </w:t>
      </w:r>
      <w:r w:rsidRPr="006F77F4">
        <w:rPr>
          <w:rFonts w:cs="Arial"/>
          <w:b/>
          <w:color w:val="000000" w:themeColor="text1"/>
          <w:szCs w:val="20"/>
        </w:rPr>
        <w:t>Mô tả biện pháp bảo đảm an ninh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Phân loại nguồn phóng xạ theo Quy chuẩn kỹ thuật Quốc gia về phân nhóm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Phân loại nguồn phóng xạ theo nhóm an ninh quy định tại Phụ lục III của Nghị định này;</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Các biện pháp bảo đảm an ninh nguồn phóng xạ theo yêu cầu liên quan tại Phụ lục V của Nghị định này.</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5.</w:t>
      </w:r>
      <w:r w:rsidRPr="006F77F4">
        <w:rPr>
          <w:rFonts w:cs="Arial"/>
          <w:color w:val="000000" w:themeColor="text1"/>
          <w:szCs w:val="20"/>
        </w:rPr>
        <w:t xml:space="preserve"> </w:t>
      </w:r>
      <w:r w:rsidRPr="006F77F4">
        <w:rPr>
          <w:rFonts w:cs="Arial"/>
          <w:b/>
          <w:color w:val="000000" w:themeColor="text1"/>
          <w:szCs w:val="20"/>
        </w:rPr>
        <w:t xml:space="preserve">Mô tả biện pháp kiểm soát chất thải phóng xạ </w:t>
      </w:r>
      <w:r w:rsidRPr="006F77F4">
        <w:rPr>
          <w:rFonts w:cs="Arial"/>
          <w:color w:val="000000" w:themeColor="text1"/>
          <w:szCs w:val="20"/>
        </w:rPr>
        <w:t>(chỉ áp dụng trong trường hợp sử dụng nguồn phóng xạ hở), bao gồm:</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Mô tả hệ thống thùng thu gom, lưu giữ tạm thời chất thải phóng xạ rắn tại khu vực sử dụng nguồn phóng xạ (yêu cầu thùng phải có nắp đậy, đóng mở bằng chân, được thiết kế che chắn thích hợp để bảo vệ chống chiếu ngoài cho nhân viên bức xạ và có dấu hiệu cảnh báo bức xạ dán bên ngoài);</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Mô tả kho lưu giữ chất thải phóng xạ rắn phát sinh trong quá trình sử dụng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Mô tả hệ thống thu gom và bể lưu giữ chất thải phóng xạ lỏng phát sinh trong quá trình sử dụng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Thuyết minh kho lưu giữ chất thải phóng xạ rắn và bể lưu giữ chất thải phóng xạ lỏng bảo đảm thiết kế là phù hợp với lượng chất thải phóng xạ cần thu gom, thời gian lưu giữ dự kiến để bảo đảm an toàn bức xạ theo quy định.</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IV. Kiểm soát liều chiếu xạ nghề nghiệp và sức khỏe nhân viên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Liệt kê danh sách nhân viên bức xạ được đo liều chiếu xạ cá nhân;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Nêu rõ quy định về kiểm tra sức khỏe khi tuyển dụng và kiểm tra sức khỏe định kỳ cho nhân viên bức xạ; tần suất kiểm tra.</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b/>
          <w:color w:val="000000" w:themeColor="text1"/>
          <w:szCs w:val="20"/>
        </w:rPr>
        <w:t>Phần V. Các tài liệu kèm theo</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Sơ đồ mặt bằng tổng thể nơi công việc bức xạ được tiến hành;</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Bản sao hợp đồng dịch vụ đo liều chiếu xạ cá nhân;</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Nội quy an toàn bức xạ; Quy trình sử dụng nguồn phóng xạ;</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Chương trình bảo đảm chất lượng trong chẩn đoán và điều trị (đối với sử dụng nguồn phóng xạ trong y tế);</w:t>
      </w:r>
    </w:p>
    <w:p w:rsidR="0008261D" w:rsidRPr="006F77F4" w:rsidRDefault="0008261D" w:rsidP="007768E9">
      <w:pPr>
        <w:adjustRightInd w:val="0"/>
        <w:snapToGrid w:val="0"/>
        <w:spacing w:after="120"/>
        <w:ind w:firstLine="720"/>
        <w:rPr>
          <w:rFonts w:cs="Arial"/>
          <w:color w:val="000000" w:themeColor="text1"/>
          <w:szCs w:val="20"/>
        </w:rPr>
      </w:pPr>
      <w:r w:rsidRPr="006F77F4">
        <w:rPr>
          <w:rFonts w:cs="Arial"/>
          <w:color w:val="000000" w:themeColor="text1"/>
          <w:szCs w:val="20"/>
        </w:rPr>
        <w:t>- Quy trình quản lý chất thải phóng xạ (nếu có).</w:t>
      </w:r>
    </w:p>
    <w:p w:rsidR="0008261D" w:rsidRPr="006F77F4" w:rsidRDefault="0008261D" w:rsidP="006F77F4">
      <w:pPr>
        <w:rPr>
          <w:rFonts w:cs="Arial"/>
          <w:b/>
          <w:color w:val="000000" w:themeColor="text1"/>
          <w:szCs w:val="20"/>
          <w:lang w:val="en-US"/>
        </w:rPr>
      </w:pPr>
    </w:p>
    <w:p w:rsidR="0008261D" w:rsidRPr="006F77F4" w:rsidRDefault="0008261D" w:rsidP="006F77F4">
      <w:pPr>
        <w:rPr>
          <w:rFonts w:cs="Arial"/>
          <w:b/>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61D"/>
    <w:rsid w:val="0008006B"/>
    <w:rsid w:val="0008261D"/>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9391B0-4E5A-45BC-B7C5-8F800A2BB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2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82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8261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8261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261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826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26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26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26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6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826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8261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8261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8261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826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26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26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26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26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2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6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26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826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261D"/>
    <w:rPr>
      <w:i/>
      <w:iCs/>
      <w:color w:val="404040" w:themeColor="text1" w:themeTint="BF"/>
    </w:rPr>
  </w:style>
  <w:style w:type="paragraph" w:styleId="ListParagraph">
    <w:name w:val="List Paragraph"/>
    <w:basedOn w:val="Normal"/>
    <w:uiPriority w:val="34"/>
    <w:qFormat/>
    <w:rsid w:val="0008261D"/>
    <w:pPr>
      <w:ind w:left="720"/>
      <w:contextualSpacing/>
    </w:pPr>
  </w:style>
  <w:style w:type="character" w:styleId="IntenseEmphasis">
    <w:name w:val="Intense Emphasis"/>
    <w:basedOn w:val="DefaultParagraphFont"/>
    <w:uiPriority w:val="21"/>
    <w:qFormat/>
    <w:rsid w:val="0008261D"/>
    <w:rPr>
      <w:i/>
      <w:iCs/>
      <w:color w:val="2F5496" w:themeColor="accent1" w:themeShade="BF"/>
    </w:rPr>
  </w:style>
  <w:style w:type="paragraph" w:styleId="IntenseQuote">
    <w:name w:val="Intense Quote"/>
    <w:basedOn w:val="Normal"/>
    <w:next w:val="Normal"/>
    <w:link w:val="IntenseQuoteChar"/>
    <w:uiPriority w:val="30"/>
    <w:qFormat/>
    <w:rsid w:val="00082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8261D"/>
    <w:rPr>
      <w:i/>
      <w:iCs/>
      <w:color w:val="2F5496" w:themeColor="accent1" w:themeShade="BF"/>
    </w:rPr>
  </w:style>
  <w:style w:type="character" w:styleId="IntenseReference">
    <w:name w:val="Intense Reference"/>
    <w:basedOn w:val="DefaultParagraphFont"/>
    <w:uiPriority w:val="32"/>
    <w:qFormat/>
    <w:rsid w:val="0008261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948</Words>
  <Characters>5408</Characters>
  <Application>Microsoft Office Word</Application>
  <DocSecurity>0</DocSecurity>
  <Lines>45</Lines>
  <Paragraphs>12</Paragraphs>
  <ScaleCrop>false</ScaleCrop>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